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/>
          <w:b/>
          <w:shd w:fill="auto" w:val="clear"/>
          <w:lang w:eastAsia="pl-PL"/>
        </w:rPr>
        <w:t xml:space="preserve">Załącznik nr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1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U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oświetlenie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rodzicielstwo zastępcze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3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października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Usługa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 profesjonalnego konferansjera (kobieta i/lub mężczyzna) prowadzącego imprezę świadomościową promującą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 października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sługi konferansjera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/>
          <w:iCs/>
          <w:sz w:val="22"/>
          <w:szCs w:val="22"/>
          <w:lang w:eastAsia="pl-PL"/>
        </w:rPr>
        <w:t xml:space="preserve">        </w:t>
      </w:r>
      <w:r>
        <w:rPr>
          <w:rFonts w:eastAsia="Times New Roman" w:cs="Times New Roman" w:ascii="Cambria" w:hAnsi="Cambria"/>
          <w:bCs/>
          <w:i/>
          <w:iCs/>
          <w:sz w:val="22"/>
          <w:szCs w:val="22"/>
          <w:lang w:eastAsia="pl-PL"/>
        </w:rPr>
        <w:t>(czytelny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1</Pages>
  <Words>199</Words>
  <Characters>1351</Characters>
  <CharactersWithSpaces>1681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2021-09-21T12:32:29Z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