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mbria" w:hAnsi="Cambria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24</w:t>
      </w:r>
      <w:r>
        <w:rPr>
          <w:rFonts w:eastAsia="Times New Roman" w:cs="Arial" w:ascii="Cambria" w:hAnsi="Cambria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 września </w:t>
      </w:r>
      <w:r>
        <w:rPr>
          <w:rFonts w:eastAsia="Times New Roman" w:cs="Arial" w:ascii="Cambria" w:hAnsi="Cambria"/>
          <w:b/>
          <w:sz w:val="22"/>
          <w:szCs w:val="22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>W związku ze z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/>
          <w:b/>
          <w:color w:val="auto"/>
          <w:kern w:val="0"/>
          <w:sz w:val="22"/>
          <w:szCs w:val="22"/>
          <w:lang w:val="pl-PL" w:eastAsia="en-US" w:bidi="ar-SA"/>
        </w:rPr>
        <w:t>Z</w:t>
      </w:r>
      <w:r>
        <w:rPr>
          <w:rFonts w:ascii="Cambria" w:hAnsi="Cambria"/>
          <w:b/>
          <w:sz w:val="22"/>
          <w:szCs w:val="22"/>
        </w:rPr>
        <w:t>akup 1000 sztuk tzw. pudełek życia, w skład których wchodzą: pudełko z kartą informacyjną oraz magnez na lodówkę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>oświadczam(y) o braku o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01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1</Pages>
  <Words>235</Words>
  <Characters>1667</Characters>
  <CharactersWithSpaces>2034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2021-09-24T23:22:52Z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