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Pani/Pana dane osobowe przetwarzane będą na podstawie art. 6 ust. 1 lit. c RODO w celu </w:t>
      </w:r>
      <w:r>
        <w:rPr>
          <w:rFonts w:cs="Times New Roman"/>
          <w:sz w:val="22"/>
          <w:szCs w:val="22"/>
        </w:rPr>
        <w:t>związanym z postępowaniem o udzielenie zamówienia publiczne</w:t>
      </w:r>
      <w:r>
        <w:rPr>
          <w:rFonts w:cs="Times New Roman"/>
          <w:b w:val="false"/>
          <w:bCs w:val="false"/>
          <w:sz w:val="22"/>
          <w:szCs w:val="22"/>
        </w:rPr>
        <w:t xml:space="preserve">go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pn. 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zakup 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zakup </w:t>
      </w:r>
      <w:r>
        <w:rPr>
          <w:rFonts w:eastAsia="Calibri" w:cs="Times New Roman"/>
          <w:b w:val="false"/>
          <w:bCs w:val="false"/>
          <w:color w:val="000000"/>
          <w:kern w:val="0"/>
          <w:sz w:val="22"/>
          <w:szCs w:val="22"/>
          <w:lang w:val="pl-PL" w:eastAsia="en-US" w:bidi="ar-SA"/>
        </w:rPr>
        <w:t>1000 sztuk tzw. pudełek życia, w skład których wchodzą: pudełko z kartą informacyjną oraz magnez na lodówkę,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</w:rPr>
        <w:t>w ramach projektu pod nazwą „</w:t>
      </w:r>
      <w:bookmarkStart w:id="0" w:name="_GoBack"/>
      <w:bookmarkEnd w:id="0"/>
      <w:r>
        <w:rPr>
          <w:rFonts w:asciiTheme="minorHAnsi" w:hAnsiTheme="minorHAnsi"/>
          <w:b w:val="false"/>
          <w:bCs w:val="false"/>
          <w:sz w:val="22"/>
          <w:szCs w:val="22"/>
        </w:rPr>
        <w:t>BEZ BARIER” współfinansowanego</w:t>
      </w:r>
      <w:r>
        <w:rPr>
          <w:rFonts w:asciiTheme="minorHAnsi" w:hAnsiTheme="minorHAnsi"/>
          <w:sz w:val="22"/>
          <w:szCs w:val="22"/>
        </w:rPr>
        <w:t xml:space="preserve">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7"/>
      <w:gridCol w:w="3134"/>
      <w:gridCol w:w="3575"/>
    </w:tblGrid>
    <w:tr>
      <w:trPr/>
      <w:tc>
        <w:tcPr>
          <w:tcW w:w="24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2</Pages>
  <Words>560</Words>
  <Characters>3398</Characters>
  <CharactersWithSpaces>4071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2019-11-21T14:43:23Z</cp:lastPrinted>
  <dcterms:modified xsi:type="dcterms:W3CDTF">2019-11-21T14:43:10Z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