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 xml:space="preserve">na dostawę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internetu mobilnego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644"/>
        <w:gridCol w:w="576"/>
        <w:gridCol w:w="889"/>
        <w:gridCol w:w="735"/>
        <w:gridCol w:w="1364"/>
        <w:gridCol w:w="1624"/>
        <w:gridCol w:w="889"/>
        <w:gridCol w:w="10"/>
        <w:gridCol w:w="1335"/>
      </w:tblGrid>
      <w:tr>
        <w:trPr/>
        <w:tc>
          <w:tcPr>
            <w:tcW w:w="2220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89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6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Wartość netto</w:t>
            </w:r>
          </w:p>
          <w:p>
            <w:pPr>
              <w:pStyle w:val="Standard"/>
              <w:jc w:val="center"/>
              <w:rPr/>
            </w:pPr>
            <w:r>
              <w:rPr/>
              <w:t>(3x4)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5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220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36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220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64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45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731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422" w:type="dxa"/>
            <w:gridSpan w:val="8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22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2</Pages>
  <Words>314</Words>
  <Characters>2030</Characters>
  <CharactersWithSpaces>2320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2019-11-09T15:17:10Z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